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B4" w:rsidRDefault="007E5AB4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AB4" w:rsidRDefault="00FF06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ИНФОРМИРОВАННОЕ ДОБРОВОЛЬНОЕ СОГЛАСИЕ </w:t>
      </w:r>
    </w:p>
    <w:p w:rsidR="007E5AB4" w:rsidRDefault="00FF062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подкожное введение/удаление препарата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E5AB4" w:rsidRDefault="00FF062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(в соответствии со ст. ст. 19-23 Федерального закона от 21 ноября 2011 г. № 323-ФЗ</w:t>
      </w:r>
      <w:proofErr w:type="gramEnd"/>
    </w:p>
    <w:p w:rsidR="007E5AB4" w:rsidRDefault="00FF0628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«Об основах охраны здоровья граждан в Российской Федерации»)</w:t>
      </w:r>
      <w:proofErr w:type="gramEnd"/>
    </w:p>
    <w:p w:rsidR="007E5AB4" w:rsidRDefault="007E5A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AB4" w:rsidRDefault="00FF0628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документ свидетельствует о том, что мне сообщена вся информация о предстоящем медицинском вмешательстве и что я согласна с названными мне условиями его проведения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7E5AB4" w:rsidRDefault="00FF062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(фамилия</w:t>
      </w:r>
      <w:r>
        <w:rPr>
          <w:rFonts w:ascii="Times New Roman" w:eastAsia="Times New Roman" w:hAnsi="Times New Roman" w:cs="Times New Roman"/>
          <w:sz w:val="24"/>
          <w:szCs w:val="24"/>
        </w:rPr>
        <w:t>, имя, отчество)</w:t>
      </w:r>
    </w:p>
    <w:p w:rsidR="007E5AB4" w:rsidRDefault="00FF062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"__" ________ _____ года рождения,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адресу:_______________________________________________________________________,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соглашаюсь с тем, что медицинское вмешательство будет проводить врач-акушер-гинеколог________________________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________________________(далее по тексту - врач).                                                                                                (ФИО врача)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Клиника вправе заменить врача предварительно уведомив меня об этом.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производится в день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едения медицинского вмешательства по прейскуранту Клиник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«МЕД-ПЛЮС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информированное добровольное согласие на вид медицинского вмешательства: </w:t>
      </w:r>
    </w:p>
    <w:tbl>
      <w:tblPr>
        <w:tblStyle w:val="a7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3"/>
        <w:gridCol w:w="2021"/>
        <w:gridCol w:w="5295"/>
        <w:gridCol w:w="1317"/>
      </w:tblGrid>
      <w:tr w:rsidR="007E5AB4">
        <w:trPr>
          <w:trHeight w:val="268"/>
        </w:trPr>
        <w:tc>
          <w:tcPr>
            <w:tcW w:w="723" w:type="dxa"/>
          </w:tcPr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21" w:type="dxa"/>
          </w:tcPr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по номенклатуре</w:t>
            </w:r>
          </w:p>
        </w:tc>
        <w:tc>
          <w:tcPr>
            <w:tcW w:w="5295" w:type="dxa"/>
          </w:tcPr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вмешательства/услуги</w:t>
            </w:r>
          </w:p>
        </w:tc>
        <w:tc>
          <w:tcPr>
            <w:tcW w:w="1317" w:type="dxa"/>
          </w:tcPr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</w:tr>
      <w:tr w:rsidR="007E5AB4">
        <w:trPr>
          <w:trHeight w:val="355"/>
        </w:trPr>
        <w:tc>
          <w:tcPr>
            <w:tcW w:w="723" w:type="dxa"/>
          </w:tcPr>
          <w:p w:rsidR="007E5AB4" w:rsidRDefault="00FF0628">
            <w:pPr>
              <w:tabs>
                <w:tab w:val="left" w:pos="54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E5AB4" w:rsidRDefault="007E5AB4">
            <w:pPr>
              <w:tabs>
                <w:tab w:val="left" w:pos="54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5AB4" w:rsidRDefault="007E5AB4">
            <w:pPr>
              <w:tabs>
                <w:tab w:val="left" w:pos="54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5AB4" w:rsidRDefault="00FF0628">
            <w:pPr>
              <w:tabs>
                <w:tab w:val="left" w:pos="54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1" w:type="dxa"/>
          </w:tcPr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A11.01.002</w:t>
            </w:r>
          </w:p>
          <w:p w:rsidR="007E5AB4" w:rsidRDefault="007E5AB4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7E5AB4" w:rsidRDefault="007E5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A16.01.001</w:t>
            </w:r>
          </w:p>
        </w:tc>
        <w:tc>
          <w:tcPr>
            <w:tcW w:w="5295" w:type="dxa"/>
          </w:tcPr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Подкожное введение лекарственных препаратов</w:t>
            </w:r>
          </w:p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(введение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подкожного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контрацептива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7E5AB4" w:rsidRDefault="007E5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Удаление поверхностно расположенного инородного тела</w:t>
            </w:r>
          </w:p>
          <w:p w:rsidR="007E5AB4" w:rsidRDefault="00FF062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(удаление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подкожного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контрацептива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17" w:type="dxa"/>
          </w:tcPr>
          <w:p w:rsidR="007E5AB4" w:rsidRDefault="007E5AB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Мне разъяснено,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однокапсульный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имплантационный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контрацептив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подкожного введения, содержащий гормон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этоногестрел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высокоселективный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гестаген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последнего.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разъяснено, что подкожный имплантат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гинекологии имеет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показание: гормональная контрацепция.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разъяснены противопоказания к применению препарата: беременность (в т.ч. предполагаемая); тромбозы (артериальные и венозные) и тромбоэмболии в настоящее время или в анамнезе (в т.ч. тромбоз, тромбофлеби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глубоких вен, тромбоэмболия легочной артерии, инфаркт миокарда, ишемические или геморрагические цереброваскулярные нарушения); наличие антител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фосфолипидам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мигрень с очаговой неврологической симптоматикой; рак молочной железы (в т.ч. в анамнезе);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новленные или предполагаемые злокачественные гормонозависимые опухоли; доброкачественные или злокачественные опухоли печени в настоящее время или в анамнезе; тяжелые формы заболеваний печени (до нормализации функциональных проб печени), в т.ч. желтуха; вро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гипербилирубинемии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т.ч. в анамнезе); неконтролируемая артериальная гипертензия; детский и подростковый возраст; кровотечение из влагалища неясной этиологии; повышенная чувствительность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этоногестрелу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 механизм действия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епарата. После установки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контрацептивное вещество, содержащееся в нем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этоногестрел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постепенно высвобождается в небольшом количестве. По своему действию оно похоже на противозачаточные таблетки: также подавляет процесс овуляции; не позволяет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йцеклеткам расти и выходить из яичников; сгущает слизь в шейке матки, что препятствует движению сперматозоидов.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Мне разъяснены преимущества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длительность действия; высокая эффективность; минимум дискомфорта и побочных явлений; нет необхо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димости в ежедневном уходе и контроле; стабилизация гормонального фона; удобство применения; ни один медикаментозный препарат не снизит эффективность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разъяснено, что перед проведением манипуляции врач может назначить следующие лабор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аторные исследования</w:t>
      </w:r>
      <w:r>
        <w:rPr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необходимости): анализ крови на ХГЧ (для исключения беременности);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коагулограмма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общий анализ крови; биохимический анализ крови; консультация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маммолога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консультация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флеболога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кожные пробы для исключения риска развития аллергии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компоненты препарата; УЗИ органов малого таза.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разъяснено, что препарат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длительно действующим контрацептивным гормональным средством. Подкожно вводится один имплантат, который может оставаться в месте введения в течение 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лет. Удаляют имплантат не позже, чем через 3 года со дня введения.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разъяснена, процедура введения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Пациентка ложится на спину, повернув наружу руку и согнув ее в локте. Препарат вводится в ту руку, которая не является доминирующей.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Врач отмечает место введения с внутренней стороны плеча приблизительно на 8-10 см выше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надмыщелка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плечевой кости, а затем протирает этот участок дезинфицирующим средством. При введении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местная анестезия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лидокаи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Врач проводит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микроразрез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отмеченном участке тела, а затем при помощи специального инструмента помещает в него капсулу с препаратом. Продолжительность процедуры составляет всего несколько минут. Затем врач проверяет наличие имплантата и правильность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расположения с помощью пальпации. После завершения установки врач накладывает стерильную салфетку и фиксирует ее повязкой, которую разрешено снять через несколько часов.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разъяснено, что препарат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вводится в течение первых пяти 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менструального цикла. Если пациентка ранее принимала противозачаточные таблетки,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на следующий день после приема последней таблетки. При наличии внутриматочной спирали, вагинального кольца или гормонального пластыря,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авливается в день их удаления. После аборта препарат можно вводить сразу после проведения процедуры прерывания. После родов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вводят через 21-28 дней.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Мне также разъяснены возможные побочные эффекты после введения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эмоциональная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лабильность, депрессия, нервозность, сниженное либидо; болезненность в молочных железах, боль в груди, нерегулярные менструации; увеличение массы тела; боль в месте расположения имплантата, реакция в месте расположения имплантата, утомляемость, гриппоподоб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состояние, боль; выделения из влагалища, дискомфорт в области вульвы и влагалища,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галакторея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увеличение молочных желез, зуд в области вульвы и влагалища; фарингит, ринит; инфекция мочевыводящих путей (уретрит, цистит) и другое.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при возникновении указанных побочных эффектов пациентке необходимо обратиться к врачу для обследования и консультации. 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разъяснена процедура удаления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Врач определяет местоположение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помощи пальпации и отмечает коне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капсулы, который расположен ближе к локтю. Если имплантат не прощупывается, пациентка направляется на дополнительное исследование (УЗИ, рентген), помогающее определить его местоположение. Перед удалением врач обрабатывает участок кожи, где расположен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антисептическим раствором, а затем проводит местную анестезию. Далее врач делает небольшой продольный разрез длиной около 2 мм и аккуратно выталкивает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направлении разреза, пока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 его конец. Затем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захватывается щипцами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вытаскивается наружу. Рассечение кожи закрывается зажимом «бабочка». После удаления на руку накладывается стерильная салфетка и давящая повязка. При желании пациентки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дальше использовать этот метод предохранения, разрешается ввести новый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место сразу при удалении предыдущего.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Также мне разъяснено,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следует удалить в случае возникновения беременности во время применения препарата, ввиду того, что сведения о влиянии препарата на организм беременной женщины и плод недост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аточны.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Мне разъяснено, что после удаления и введения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Импланона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время может отмечаться головокружение. 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доступной для меня форме мне разъяснено, что я имею право отказаться от медицинского вмешательства или потребовать его прекра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7E5AB4" w:rsidRDefault="00FF0628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Сведения о выбранных мною лицах, которым в соответствии с пунктом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после смерти: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 имя,  отчество  (при  наличии)  гражданина,  контактный телефон)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 имя,  отчество  (при  наличии)  гражданина,  контактный телефон)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      __________________________________________________________________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(подпись)                   (фамилия, имя, отчество (при наличии) гражданина, телефон)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_________     ___________________________________________________________________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(подпись)                  (фамилия, имя, отчество (при наличии) медицинского работника).</w:t>
      </w:r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подтверждаю, что: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Я понимаю и осознаю, что введе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ние/удаление препарата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строго врачебной манипуляцией.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Я извещена о том, что при ухудшении самочувствия мне необходимо немедленно сообщить об этом врачу и явиться на осмотр в назначенное время.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Я извещена, что препа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может стопроцентно гарантировать предотвращение наступления беременности, как и иные виды контрацепции.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Я информирована, что вправе удалить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Импланон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своему личному желанию в любое время.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 поставила в известность вр</w:t>
      </w:r>
      <w:r>
        <w:rPr>
          <w:rFonts w:ascii="Times New Roman" w:eastAsia="Times New Roman" w:hAnsi="Times New Roman" w:cs="Times New Roman"/>
          <w:sz w:val="24"/>
          <w:szCs w:val="24"/>
        </w:rPr>
        <w:t>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 </w:t>
      </w:r>
      <w:proofErr w:type="gramEnd"/>
    </w:p>
    <w:p w:rsidR="007E5AB4" w:rsidRDefault="00FF06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Я внимательно ознакомилась с данным документом и понимаю, что он является юридическим до</w:t>
      </w:r>
      <w:r>
        <w:rPr>
          <w:rFonts w:ascii="Times New Roman" w:eastAsia="Times New Roman" w:hAnsi="Times New Roman" w:cs="Times New Roman"/>
          <w:sz w:val="24"/>
          <w:szCs w:val="24"/>
        </w:rPr>
        <w:t>кументом и влечет для меня правовые последствия. Настоящий документ является неотъемлемой частью моей медицинской карты.</w:t>
      </w:r>
    </w:p>
    <w:p w:rsidR="007E5AB4" w:rsidRDefault="00FF062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Я имела возможность задать врачу все интересующие меня вопросы и получила на них удовлетворяющие меня ответы, и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вышеизложенного я даю информированное добровольное согласие на проведение мне медицинского вмешательства.</w:t>
      </w:r>
    </w:p>
    <w:p w:rsidR="007E5AB4" w:rsidRDefault="007E5AB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7E5AB4" w:rsidRDefault="00FF06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________________________</w:t>
      </w:r>
    </w:p>
    <w:p w:rsidR="007E5AB4" w:rsidRDefault="00FF06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 пациента)                                                      (подпись)</w:t>
      </w:r>
    </w:p>
    <w:p w:rsidR="007E5AB4" w:rsidRDefault="00FF062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            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(ФИО медицинского работника)                        (подпись)   </w:t>
      </w:r>
    </w:p>
    <w:p w:rsidR="007E5AB4" w:rsidRDefault="00FF06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«__»_________________ 202__г. (дата оформления)</w:t>
      </w:r>
    </w:p>
    <w:sectPr w:rsidR="007E5AB4" w:rsidSect="007E5AB4">
      <w:pgSz w:w="11906" w:h="16838"/>
      <w:pgMar w:top="709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5AB4"/>
    <w:rsid w:val="007E5AB4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B4"/>
  </w:style>
  <w:style w:type="paragraph" w:styleId="1">
    <w:name w:val="heading 1"/>
    <w:basedOn w:val="normal"/>
    <w:next w:val="normal"/>
    <w:rsid w:val="007E5A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E5A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E5A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E5A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E5A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7E5A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E5AB4"/>
  </w:style>
  <w:style w:type="table" w:customStyle="1" w:styleId="TableNormal">
    <w:name w:val="Table Normal"/>
    <w:rsid w:val="007E5A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E5A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A7B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2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32E9"/>
    <w:rPr>
      <w:color w:val="605E5C"/>
      <w:shd w:val="clear" w:color="auto" w:fill="E1DFDD"/>
    </w:rPr>
  </w:style>
  <w:style w:type="paragraph" w:styleId="a6">
    <w:name w:val="Subtitle"/>
    <w:basedOn w:val="normal"/>
    <w:next w:val="normal"/>
    <w:rsid w:val="007E5A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7E5A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6o6cluaeUKXLvIq8xC/kC1NFDA==">CgMxLjAyCGguZ2pkZ3hzOAByITE2RVF5bUU5MUdKYVhXa0ZQOWtzaE96V2haRlA3RHZwcg==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1570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Solvores</dc:creator>
  <cp:lastModifiedBy>Андрей Дианов</cp:lastModifiedBy>
  <cp:revision>2</cp:revision>
  <dcterms:created xsi:type="dcterms:W3CDTF">2023-08-14T05:49:00Z</dcterms:created>
  <dcterms:modified xsi:type="dcterms:W3CDTF">2023-08-14T05:49:00Z</dcterms:modified>
</cp:coreProperties>
</file>